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F85E9">
      <w:pPr>
        <w:jc w:val="center"/>
        <w:rPr>
          <w:rFonts w:ascii="华文中宋" w:hAnsi="华文中宋" w:eastAsia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/>
          <w:b/>
          <w:bCs/>
          <w:sz w:val="36"/>
          <w:szCs w:val="36"/>
        </w:rPr>
        <w:t>华东师范大学动火作业审批表</w:t>
      </w:r>
    </w:p>
    <w:p w14:paraId="160F3356">
      <w:pPr>
        <w:spacing w:line="360" w:lineRule="auto"/>
        <w:ind w:firstLine="7795" w:firstLineChars="3248"/>
        <w:jc w:val="left"/>
        <w:rPr>
          <w:sz w:val="24"/>
          <w:szCs w:val="28"/>
        </w:rPr>
      </w:pPr>
      <w:r>
        <w:rPr>
          <w:rFonts w:ascii="News706 BT" w:hAnsi="News706 BT"/>
          <w:sz w:val="24"/>
          <w:szCs w:val="28"/>
        </w:rPr>
        <w:t xml:space="preserve">XD </w:t>
      </w:r>
      <w:r>
        <w:rPr>
          <w:rFonts w:hint="eastAsia" w:ascii="方正小标宋简体" w:hAnsi="黑体" w:eastAsia="方正小标宋简体"/>
          <w:sz w:val="24"/>
          <w:szCs w:val="28"/>
        </w:rPr>
        <w:t>-</w:t>
      </w:r>
      <w:r>
        <w:rPr>
          <w:rFonts w:ascii="News706 BT" w:hAnsi="News706 BT"/>
          <w:sz w:val="24"/>
          <w:szCs w:val="28"/>
        </w:rPr>
        <w:t xml:space="preserve"> 20</w:t>
      </w:r>
      <w:r>
        <w:rPr>
          <w:rFonts w:hint="eastAsia" w:ascii="News706 BT" w:hAnsi="News706 BT"/>
          <w:sz w:val="24"/>
          <w:szCs w:val="28"/>
          <w:lang w:val="en-US" w:eastAsia="zh-CN"/>
        </w:rPr>
        <w:t>_ _</w:t>
      </w:r>
      <w:r>
        <w:rPr>
          <w:rFonts w:hint="eastAsia" w:ascii="方正小标宋简体" w:hAnsi="黑体" w:eastAsia="方正小标宋简体"/>
          <w:sz w:val="24"/>
          <w:szCs w:val="28"/>
        </w:rPr>
        <w:t>（ ）-</w:t>
      </w:r>
      <w:bookmarkStart w:id="0" w:name="_GoBack"/>
      <w:bookmarkEnd w:id="0"/>
      <w:r>
        <w:rPr>
          <w:rFonts w:ascii="News706 BT" w:hAnsi="News706 BT"/>
          <w:sz w:val="24"/>
          <w:szCs w:val="28"/>
        </w:rPr>
        <w:t xml:space="preserve"> </w:t>
      </w:r>
    </w:p>
    <w:tbl>
      <w:tblPr>
        <w:tblStyle w:val="6"/>
        <w:tblW w:w="11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600"/>
        <w:gridCol w:w="778"/>
        <w:gridCol w:w="1064"/>
        <w:gridCol w:w="850"/>
        <w:gridCol w:w="142"/>
        <w:gridCol w:w="713"/>
        <w:gridCol w:w="1271"/>
        <w:gridCol w:w="1563"/>
        <w:gridCol w:w="1134"/>
        <w:gridCol w:w="709"/>
        <w:gridCol w:w="855"/>
      </w:tblGrid>
      <w:tr w14:paraId="055C5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978" w:type="dxa"/>
            <w:gridSpan w:val="2"/>
            <w:vAlign w:val="center"/>
          </w:tcPr>
          <w:p w14:paraId="6556EE9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动火地点</w:t>
            </w:r>
          </w:p>
        </w:tc>
        <w:tc>
          <w:tcPr>
            <w:tcW w:w="2834" w:type="dxa"/>
            <w:gridSpan w:val="4"/>
            <w:vAlign w:val="center"/>
          </w:tcPr>
          <w:p w14:paraId="046491AF">
            <w:pPr>
              <w:jc w:val="center"/>
              <w:rPr>
                <w:color w:val="FF0000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D1D36E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明火操作类别</w:t>
            </w:r>
          </w:p>
          <w:p w14:paraId="3782F6B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（请在“□”内，</w:t>
            </w:r>
          </w:p>
          <w:p w14:paraId="0A781FD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画√或×）</w:t>
            </w:r>
          </w:p>
        </w:tc>
        <w:tc>
          <w:tcPr>
            <w:tcW w:w="4261" w:type="dxa"/>
            <w:gridSpan w:val="4"/>
            <w:vAlign w:val="center"/>
          </w:tcPr>
          <w:p w14:paraId="20E5A28C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sym w:font="Wingdings 2" w:char="00A3"/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 xml:space="preserve">气焊、电焊、铅焊、锡焊、塑料焊等 </w:t>
            </w:r>
          </w:p>
          <w:p w14:paraId="4D432BFE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sym w:font="Wingdings 2" w:char="00A3"/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喷灯、火炉、液化器炉、电炉等</w:t>
            </w:r>
          </w:p>
          <w:p w14:paraId="60926649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sym w:font="Wingdings 2" w:char="00A3"/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 xml:space="preserve">烘烤、熬沥青、炒沙等      </w:t>
            </w:r>
          </w:p>
          <w:p w14:paraId="6EBD3648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sym w:font="Wingdings 2" w:char="00A3"/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明火取暖和明火照明等</w:t>
            </w:r>
          </w:p>
          <w:p w14:paraId="2C1BAFE6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sym w:font="Wingdings 2" w:char="00A3"/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生产装置和罐区使用电动砂轮、风镐等</w:t>
            </w:r>
          </w:p>
          <w:p w14:paraId="6E89D4D2">
            <w:pPr>
              <w:rPr>
                <w:color w:val="FF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sym w:font="Wingdings 2" w:char="00A3"/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其他_________</w:t>
            </w:r>
          </w:p>
        </w:tc>
      </w:tr>
      <w:tr w14:paraId="77E96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978" w:type="dxa"/>
            <w:gridSpan w:val="2"/>
            <w:vAlign w:val="center"/>
          </w:tcPr>
          <w:p w14:paraId="7C3211F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动火日期</w:t>
            </w:r>
          </w:p>
        </w:tc>
        <w:tc>
          <w:tcPr>
            <w:tcW w:w="2834" w:type="dxa"/>
            <w:gridSpan w:val="4"/>
            <w:vAlign w:val="center"/>
          </w:tcPr>
          <w:p w14:paraId="3E00C7FA">
            <w:pPr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3FD035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动火时间</w:t>
            </w:r>
          </w:p>
        </w:tc>
        <w:tc>
          <w:tcPr>
            <w:tcW w:w="4261" w:type="dxa"/>
            <w:gridSpan w:val="4"/>
            <w:vAlign w:val="center"/>
          </w:tcPr>
          <w:p w14:paraId="47903D34">
            <w:pPr>
              <w:ind w:firstLine="630" w:firstLineChars="3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日   时  分  至 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日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时  分</w:t>
            </w:r>
          </w:p>
        </w:tc>
      </w:tr>
      <w:tr w14:paraId="01B04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78" w:type="dxa"/>
            <w:vAlign w:val="center"/>
          </w:tcPr>
          <w:p w14:paraId="3E63E27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操作人姓名</w:t>
            </w:r>
          </w:p>
        </w:tc>
        <w:tc>
          <w:tcPr>
            <w:tcW w:w="1378" w:type="dxa"/>
            <w:gridSpan w:val="2"/>
            <w:vAlign w:val="center"/>
          </w:tcPr>
          <w:p w14:paraId="56830117">
            <w:pPr>
              <w:jc w:val="center"/>
              <w:rPr>
                <w:szCs w:val="21"/>
              </w:rPr>
            </w:pPr>
          </w:p>
        </w:tc>
        <w:tc>
          <w:tcPr>
            <w:tcW w:w="1064" w:type="dxa"/>
            <w:vAlign w:val="center"/>
          </w:tcPr>
          <w:p w14:paraId="3919EAD8">
            <w:pPr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szCs w:val="21"/>
              </w:rPr>
              <w:t>操作证号</w:t>
            </w:r>
          </w:p>
        </w:tc>
        <w:tc>
          <w:tcPr>
            <w:tcW w:w="1705" w:type="dxa"/>
            <w:gridSpan w:val="3"/>
            <w:vAlign w:val="center"/>
          </w:tcPr>
          <w:p w14:paraId="66DB1404">
            <w:pPr>
              <w:jc w:val="center"/>
              <w:rPr>
                <w:color w:val="FF0000"/>
                <w:szCs w:val="21"/>
              </w:rPr>
            </w:pPr>
          </w:p>
        </w:tc>
        <w:tc>
          <w:tcPr>
            <w:tcW w:w="1271" w:type="dxa"/>
            <w:vAlign w:val="center"/>
          </w:tcPr>
          <w:p w14:paraId="1428BAA7">
            <w:pPr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szCs w:val="21"/>
              </w:rPr>
              <w:t>现场负责人</w:t>
            </w:r>
          </w:p>
        </w:tc>
        <w:tc>
          <w:tcPr>
            <w:tcW w:w="1563" w:type="dxa"/>
            <w:vAlign w:val="center"/>
          </w:tcPr>
          <w:p w14:paraId="46880B6D">
            <w:pPr>
              <w:jc w:val="center"/>
              <w:rPr>
                <w:color w:val="FF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EF7D0B0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564" w:type="dxa"/>
            <w:gridSpan w:val="2"/>
            <w:vAlign w:val="center"/>
          </w:tcPr>
          <w:p w14:paraId="4CB764B1">
            <w:pPr>
              <w:jc w:val="left"/>
              <w:rPr>
                <w:color w:val="FF0000"/>
                <w:szCs w:val="21"/>
              </w:rPr>
            </w:pPr>
          </w:p>
        </w:tc>
      </w:tr>
      <w:tr w14:paraId="0E488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6796" w:type="dxa"/>
            <w:gridSpan w:val="8"/>
          </w:tcPr>
          <w:p w14:paraId="4D7A1C5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明火操作理由：</w:t>
            </w:r>
            <w:r>
              <w:rPr>
                <w:szCs w:val="21"/>
              </w:rPr>
              <w:t xml:space="preserve"> </w:t>
            </w:r>
          </w:p>
        </w:tc>
        <w:tc>
          <w:tcPr>
            <w:tcW w:w="1563" w:type="dxa"/>
            <w:vAlign w:val="center"/>
          </w:tcPr>
          <w:p w14:paraId="01B0E6C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现场监护人</w:t>
            </w:r>
          </w:p>
          <w:p w14:paraId="0695156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及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698" w:type="dxa"/>
            <w:gridSpan w:val="3"/>
            <w:vAlign w:val="center"/>
          </w:tcPr>
          <w:p w14:paraId="62CF0C22">
            <w:pPr>
              <w:rPr>
                <w:szCs w:val="21"/>
              </w:rPr>
            </w:pPr>
          </w:p>
        </w:tc>
      </w:tr>
      <w:tr w14:paraId="406CC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3820" w:type="dxa"/>
            <w:gridSpan w:val="4"/>
          </w:tcPr>
          <w:p w14:paraId="3FC1FA39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动火时是否有专人负责监护</w:t>
            </w:r>
          </w:p>
        </w:tc>
        <w:tc>
          <w:tcPr>
            <w:tcW w:w="850" w:type="dxa"/>
          </w:tcPr>
          <w:p w14:paraId="2C324835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  <w:tc>
          <w:tcPr>
            <w:tcW w:w="855" w:type="dxa"/>
            <w:gridSpan w:val="2"/>
          </w:tcPr>
          <w:p w14:paraId="3284AE4D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  <w:tc>
          <w:tcPr>
            <w:tcW w:w="3968" w:type="dxa"/>
            <w:gridSpan w:val="3"/>
          </w:tcPr>
          <w:p w14:paraId="087C1409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动火人员是否持证</w:t>
            </w:r>
          </w:p>
        </w:tc>
        <w:tc>
          <w:tcPr>
            <w:tcW w:w="709" w:type="dxa"/>
          </w:tcPr>
          <w:p w14:paraId="717EB7E2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  <w:tc>
          <w:tcPr>
            <w:tcW w:w="855" w:type="dxa"/>
          </w:tcPr>
          <w:p w14:paraId="06060759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</w:tr>
      <w:tr w14:paraId="3FF61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3820" w:type="dxa"/>
            <w:gridSpan w:val="4"/>
          </w:tcPr>
          <w:p w14:paraId="67AEA04F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动火是否穿戴规定的劳动保护用品</w:t>
            </w:r>
          </w:p>
        </w:tc>
        <w:tc>
          <w:tcPr>
            <w:tcW w:w="850" w:type="dxa"/>
          </w:tcPr>
          <w:p w14:paraId="507DE1F5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  <w:tc>
          <w:tcPr>
            <w:tcW w:w="855" w:type="dxa"/>
            <w:gridSpan w:val="2"/>
          </w:tcPr>
          <w:p w14:paraId="10FA30EA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  <w:tc>
          <w:tcPr>
            <w:tcW w:w="3968" w:type="dxa"/>
            <w:gridSpan w:val="3"/>
          </w:tcPr>
          <w:p w14:paraId="3BE23367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是否设置相关警戒标识</w:t>
            </w:r>
          </w:p>
        </w:tc>
        <w:tc>
          <w:tcPr>
            <w:tcW w:w="709" w:type="dxa"/>
          </w:tcPr>
          <w:p w14:paraId="77F22791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  <w:tc>
          <w:tcPr>
            <w:tcW w:w="855" w:type="dxa"/>
          </w:tcPr>
          <w:p w14:paraId="7CB76F19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</w:tr>
      <w:tr w14:paraId="2D8C3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3820" w:type="dxa"/>
            <w:gridSpan w:val="4"/>
          </w:tcPr>
          <w:p w14:paraId="4869F963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是否有安全预案</w:t>
            </w:r>
          </w:p>
        </w:tc>
        <w:tc>
          <w:tcPr>
            <w:tcW w:w="850" w:type="dxa"/>
          </w:tcPr>
          <w:p w14:paraId="706C7499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  <w:tc>
          <w:tcPr>
            <w:tcW w:w="855" w:type="dxa"/>
            <w:gridSpan w:val="2"/>
          </w:tcPr>
          <w:p w14:paraId="421203DF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  <w:tc>
          <w:tcPr>
            <w:tcW w:w="3968" w:type="dxa"/>
            <w:gridSpan w:val="3"/>
          </w:tcPr>
          <w:p w14:paraId="267F7728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是否配备灭火器等灭火设施</w:t>
            </w:r>
          </w:p>
        </w:tc>
        <w:tc>
          <w:tcPr>
            <w:tcW w:w="709" w:type="dxa"/>
          </w:tcPr>
          <w:p w14:paraId="0623C38B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  <w:tc>
          <w:tcPr>
            <w:tcW w:w="855" w:type="dxa"/>
          </w:tcPr>
          <w:p w14:paraId="7B0E8B63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</w:tr>
      <w:tr w14:paraId="62B9E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3820" w:type="dxa"/>
            <w:gridSpan w:val="4"/>
          </w:tcPr>
          <w:p w14:paraId="60D78D2F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动火区域是否设置警戒</w:t>
            </w:r>
          </w:p>
        </w:tc>
        <w:tc>
          <w:tcPr>
            <w:tcW w:w="850" w:type="dxa"/>
          </w:tcPr>
          <w:p w14:paraId="552C9005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  <w:tc>
          <w:tcPr>
            <w:tcW w:w="855" w:type="dxa"/>
            <w:gridSpan w:val="2"/>
          </w:tcPr>
          <w:p w14:paraId="07B33F50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  <w:tc>
          <w:tcPr>
            <w:tcW w:w="3968" w:type="dxa"/>
            <w:gridSpan w:val="3"/>
          </w:tcPr>
          <w:p w14:paraId="689B23B7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是否与可燃物保持适当安全距离</w:t>
            </w:r>
          </w:p>
        </w:tc>
        <w:tc>
          <w:tcPr>
            <w:tcW w:w="709" w:type="dxa"/>
          </w:tcPr>
          <w:p w14:paraId="0BA6F020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  <w:tc>
          <w:tcPr>
            <w:tcW w:w="855" w:type="dxa"/>
          </w:tcPr>
          <w:p w14:paraId="019623F8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</w:p>
        </w:tc>
      </w:tr>
      <w:tr w14:paraId="12A63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11057" w:type="dxa"/>
            <w:gridSpan w:val="12"/>
          </w:tcPr>
          <w:p w14:paraId="5CCCE15E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其他相关安全措施：</w:t>
            </w:r>
          </w:p>
        </w:tc>
      </w:tr>
      <w:tr w14:paraId="61900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1057" w:type="dxa"/>
            <w:gridSpan w:val="12"/>
            <w:vAlign w:val="center"/>
          </w:tcPr>
          <w:p w14:paraId="56FBBED9">
            <w:pPr>
              <w:pStyle w:val="12"/>
              <w:kinsoku w:val="0"/>
              <w:overflowPunct w:val="0"/>
              <w:spacing w:before="6" w:line="367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填表人： </w:t>
            </w:r>
            <w:r>
              <w:rPr>
                <w:sz w:val="21"/>
                <w:szCs w:val="21"/>
              </w:rPr>
              <w:t xml:space="preserve">                 </w:t>
            </w:r>
            <w:r>
              <w:rPr>
                <w:rFonts w:hint="eastAsia"/>
                <w:sz w:val="21"/>
                <w:szCs w:val="21"/>
              </w:rPr>
              <w:t xml:space="preserve">联系电话： </w:t>
            </w:r>
            <w:r>
              <w:rPr>
                <w:sz w:val="21"/>
                <w:szCs w:val="21"/>
              </w:rPr>
              <w:t xml:space="preserve">                               </w:t>
            </w:r>
            <w:r>
              <w:rPr>
                <w:rFonts w:hint="eastAsia"/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20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  <w:tr w14:paraId="59A51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2756" w:type="dxa"/>
            <w:gridSpan w:val="3"/>
          </w:tcPr>
          <w:p w14:paraId="2F3787B6"/>
          <w:p w14:paraId="443F7F75">
            <w:r>
              <w:rPr>
                <w:rFonts w:hint="eastAsia"/>
              </w:rPr>
              <w:t>施工单位（盖章）</w:t>
            </w:r>
            <w:r>
              <w:t>：</w:t>
            </w:r>
          </w:p>
          <w:p w14:paraId="0F9D47FA"/>
          <w:p w14:paraId="208A2346"/>
          <w:p w14:paraId="7B36856C"/>
          <w:p w14:paraId="567C3A79"/>
          <w:p w14:paraId="369C5C35">
            <w:pPr>
              <w:ind w:firstLine="1050" w:firstLineChars="500"/>
            </w:pPr>
            <w:r>
              <w:rPr>
                <w:rFonts w:hint="eastAsia"/>
              </w:rPr>
              <w:t>负责人：</w:t>
            </w:r>
          </w:p>
          <w:p w14:paraId="1D7D1B09">
            <w:pPr>
              <w:ind w:firstLine="1050" w:firstLineChars="500"/>
            </w:pPr>
            <w:r>
              <w:rPr>
                <w:rFonts w:hint="eastAsia"/>
              </w:rPr>
              <w:t>日期</w:t>
            </w:r>
            <w:r>
              <w:t>：</w:t>
            </w:r>
          </w:p>
        </w:tc>
        <w:tc>
          <w:tcPr>
            <w:tcW w:w="2769" w:type="dxa"/>
            <w:gridSpan w:val="4"/>
          </w:tcPr>
          <w:p w14:paraId="4F6274B3">
            <w:r>
              <w:rPr>
                <w:rFonts w:hint="eastAsia"/>
              </w:rPr>
              <w:t xml:space="preserve"> </w:t>
            </w:r>
          </w:p>
          <w:p w14:paraId="1337A555">
            <w:r>
              <w:rPr>
                <w:rFonts w:hint="eastAsia"/>
              </w:rPr>
              <w:t>建设单位（盖章</w:t>
            </w:r>
            <w:r>
              <w:t>）</w:t>
            </w:r>
            <w:r>
              <w:rPr>
                <w:rFonts w:hint="eastAsia"/>
              </w:rPr>
              <w:t>：</w:t>
            </w:r>
          </w:p>
          <w:p w14:paraId="533E08E6"/>
          <w:p w14:paraId="6266378E"/>
          <w:p w14:paraId="0E37BD15"/>
          <w:p w14:paraId="6E4B7AE4"/>
          <w:p w14:paraId="26847651">
            <w:pPr>
              <w:ind w:firstLine="1050" w:firstLineChars="500"/>
            </w:pPr>
            <w:r>
              <w:rPr>
                <w:rFonts w:hint="eastAsia"/>
              </w:rPr>
              <w:t>负责人：</w:t>
            </w:r>
          </w:p>
          <w:p w14:paraId="20C7320B">
            <w:pPr>
              <w:ind w:firstLine="1050" w:firstLineChars="500"/>
            </w:pPr>
            <w:r>
              <w:rPr>
                <w:rFonts w:hint="eastAsia"/>
              </w:rPr>
              <w:t>日期</w:t>
            </w:r>
            <w:r>
              <w:t>：</w:t>
            </w:r>
          </w:p>
        </w:tc>
        <w:tc>
          <w:tcPr>
            <w:tcW w:w="2834" w:type="dxa"/>
            <w:gridSpan w:val="2"/>
          </w:tcPr>
          <w:p w14:paraId="173ADBD6"/>
          <w:p w14:paraId="71EEDB42">
            <w:r>
              <w:rPr>
                <w:rFonts w:hint="eastAsia"/>
              </w:rPr>
              <w:t>使用</w:t>
            </w:r>
            <w:r>
              <w:t>单位</w:t>
            </w:r>
            <w:r>
              <w:rPr>
                <w:rFonts w:hint="eastAsia"/>
              </w:rPr>
              <w:t>（盖章</w:t>
            </w:r>
            <w:r>
              <w:t>）</w:t>
            </w:r>
            <w:r>
              <w:rPr>
                <w:rFonts w:hint="eastAsia"/>
              </w:rPr>
              <w:t>：</w:t>
            </w:r>
          </w:p>
          <w:p w14:paraId="3B91845F"/>
          <w:p w14:paraId="3DCC0417"/>
          <w:p w14:paraId="70027BC1"/>
          <w:p w14:paraId="77571D6E"/>
          <w:p w14:paraId="08F57117">
            <w:pPr>
              <w:ind w:firstLine="1155" w:firstLineChars="550"/>
            </w:pPr>
            <w:r>
              <w:rPr>
                <w:rFonts w:hint="eastAsia"/>
              </w:rPr>
              <w:t>负责人：</w:t>
            </w:r>
          </w:p>
          <w:p w14:paraId="0FB6F246">
            <w:pPr>
              <w:ind w:firstLine="1155" w:firstLineChars="550"/>
            </w:pPr>
            <w:r>
              <w:rPr>
                <w:rFonts w:hint="eastAsia"/>
              </w:rPr>
              <w:t>日期</w:t>
            </w:r>
            <w:r>
              <w:t>：</w:t>
            </w:r>
          </w:p>
        </w:tc>
        <w:tc>
          <w:tcPr>
            <w:tcW w:w="2698" w:type="dxa"/>
            <w:gridSpan w:val="3"/>
          </w:tcPr>
          <w:p w14:paraId="66FD3C80"/>
          <w:p w14:paraId="55681DE3">
            <w:r>
              <w:rPr>
                <w:rFonts w:hint="eastAsia"/>
              </w:rPr>
              <w:t>保卫处</w:t>
            </w:r>
            <w:r>
              <w:t>意见</w:t>
            </w:r>
            <w:r>
              <w:rPr>
                <w:rFonts w:hint="eastAsia"/>
              </w:rPr>
              <w:t>（盖章</w:t>
            </w:r>
            <w:r>
              <w:t>）</w:t>
            </w:r>
            <w:r>
              <w:rPr>
                <w:rFonts w:hint="eastAsia"/>
              </w:rPr>
              <w:t>：</w:t>
            </w:r>
          </w:p>
          <w:p w14:paraId="6DE6F015"/>
          <w:p w14:paraId="26672017"/>
          <w:p w14:paraId="57EDA675"/>
          <w:p w14:paraId="35579E14"/>
          <w:p w14:paraId="5EDC046B">
            <w:pPr>
              <w:ind w:firstLine="1050" w:firstLineChars="500"/>
            </w:pPr>
          </w:p>
        </w:tc>
      </w:tr>
      <w:tr w14:paraId="17592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8" w:hRule="atLeast"/>
          <w:jc w:val="center"/>
        </w:trPr>
        <w:tc>
          <w:tcPr>
            <w:tcW w:w="11057" w:type="dxa"/>
            <w:gridSpan w:val="12"/>
          </w:tcPr>
          <w:p w14:paraId="4C7FF65C">
            <w:pPr>
              <w:spacing w:line="360" w:lineRule="auto"/>
              <w:ind w:left="926" w:hanging="926" w:hangingChars="441"/>
              <w:rPr>
                <w:szCs w:val="21"/>
              </w:rPr>
            </w:pPr>
            <w:r>
              <w:rPr>
                <w:rFonts w:hint="eastAsia"/>
                <w:szCs w:val="21"/>
              </w:rPr>
              <w:t>说明：1、凡在校内进行明火操作，均须填写此表审批，经批准后方可进行操作，手续未办妥，自行动用明火将追究有关人员责任；</w:t>
            </w:r>
          </w:p>
          <w:p w14:paraId="3908829F">
            <w:pPr>
              <w:spacing w:line="360" w:lineRule="auto"/>
              <w:ind w:left="926" w:hanging="926" w:hangingChars="441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2、明火操作，必须遵守</w:t>
            </w:r>
            <w:r>
              <w:rPr>
                <w:szCs w:val="21"/>
              </w:rPr>
              <w:t>《</w:t>
            </w:r>
            <w:r>
              <w:rPr>
                <w:rFonts w:hint="eastAsia"/>
                <w:szCs w:val="21"/>
              </w:rPr>
              <w:t>动火作业</w:t>
            </w:r>
            <w:r>
              <w:rPr>
                <w:szCs w:val="21"/>
              </w:rPr>
              <w:t>安全规定》</w:t>
            </w:r>
            <w:r>
              <w:rPr>
                <w:rFonts w:hint="eastAsia"/>
                <w:szCs w:val="21"/>
              </w:rPr>
              <w:t>（附后），</w:t>
            </w:r>
            <w:r>
              <w:rPr>
                <w:szCs w:val="21"/>
              </w:rPr>
              <w:t>并</w:t>
            </w:r>
            <w:r>
              <w:rPr>
                <w:rFonts w:hint="eastAsia"/>
                <w:szCs w:val="21"/>
              </w:rPr>
              <w:t>按规章、流程</w:t>
            </w:r>
            <w:r>
              <w:rPr>
                <w:szCs w:val="21"/>
              </w:rPr>
              <w:t>操作，</w:t>
            </w:r>
            <w:r>
              <w:rPr>
                <w:rFonts w:hint="eastAsia"/>
                <w:szCs w:val="21"/>
              </w:rPr>
              <w:t>提高警惕，做好安全防火措施，确保安全完工后必须加强检查，以免火险隐患遗漏，发生事故责任由施工单位承担；</w:t>
            </w:r>
          </w:p>
          <w:p w14:paraId="37DAA912">
            <w:pPr>
              <w:widowControl/>
              <w:spacing w:line="360" w:lineRule="auto"/>
              <w:ind w:left="1050" w:hanging="1050" w:hangingChars="5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3、本表一式三份（</w:t>
            </w:r>
            <w:r>
              <w:rPr>
                <w:rFonts w:hint="eastAsia"/>
                <w:b/>
                <w:szCs w:val="21"/>
              </w:rPr>
              <w:t>正反</w:t>
            </w:r>
            <w:r>
              <w:rPr>
                <w:b/>
                <w:szCs w:val="21"/>
              </w:rPr>
              <w:t>打印</w:t>
            </w:r>
            <w:r>
              <w:rPr>
                <w:rFonts w:hint="eastAsia"/>
                <w:szCs w:val="21"/>
              </w:rPr>
              <w:t>），审批后，一份交保卫处存档，一份交物业备案（没有物业的交予建设单位），一份自留，交操作人凭批准后的审批表施工；</w:t>
            </w:r>
          </w:p>
          <w:p w14:paraId="02534F47">
            <w:pPr>
              <w:widowControl/>
              <w:spacing w:line="360" w:lineRule="auto"/>
              <w:ind w:left="1050" w:hanging="1050" w:hangingChars="5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4</w:t>
            </w:r>
            <w:r>
              <w:rPr>
                <w:rFonts w:hint="eastAsia"/>
                <w:szCs w:val="21"/>
              </w:rPr>
              <w:t>、附件内容：安全预案原件、现场负责人/监护人身份证明复印件、操作人员证件复印件。</w:t>
            </w:r>
          </w:p>
          <w:p w14:paraId="2D028928">
            <w:pPr>
              <w:ind w:left="926" w:hanging="926" w:hangingChars="441"/>
              <w:rPr>
                <w:szCs w:val="21"/>
              </w:rPr>
            </w:pPr>
          </w:p>
        </w:tc>
      </w:tr>
    </w:tbl>
    <w:p w14:paraId="14B3E95C"/>
    <w:p w14:paraId="4D2BC9C1">
      <w:pPr>
        <w:jc w:val="center"/>
        <w:rPr>
          <w:rFonts w:ascii="华文中宋" w:hAnsi="华文中宋" w:eastAsia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/>
          <w:b/>
          <w:bCs/>
          <w:sz w:val="36"/>
          <w:szCs w:val="36"/>
        </w:rPr>
        <w:t>动火作业安全规定</w:t>
      </w:r>
    </w:p>
    <w:p w14:paraId="3678F827">
      <w:pPr>
        <w:widowControl/>
        <w:spacing w:line="360" w:lineRule="auto"/>
        <w:ind w:firstLine="480"/>
        <w:jc w:val="center"/>
        <w:rPr>
          <w:rFonts w:ascii="Tahoma" w:hAnsi="Tahoma" w:cs="Tahoma"/>
          <w:color w:val="000000"/>
          <w:kern w:val="0"/>
          <w:sz w:val="20"/>
        </w:rPr>
      </w:pPr>
      <w:r>
        <w:rPr>
          <w:rFonts w:ascii="Tahoma" w:hAnsi="Tahoma" w:cs="Tahoma"/>
          <w:color w:val="000000"/>
          <w:kern w:val="0"/>
          <w:sz w:val="20"/>
        </w:rPr>
        <w:t>  </w:t>
      </w:r>
    </w:p>
    <w:tbl>
      <w:tblPr>
        <w:tblStyle w:val="6"/>
        <w:tblW w:w="991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15"/>
      </w:tblGrid>
      <w:tr w14:paraId="6762CD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9915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000000" w:sz="6" w:space="0"/>
              <w:right w:val="single" w:color="FFFFFF" w:themeColor="background1" w:sz="4" w:space="0"/>
            </w:tcBorders>
            <w:shd w:val="clear" w:color="auto" w:fill="auto"/>
            <w:vAlign w:val="center"/>
          </w:tcPr>
          <w:p w14:paraId="5DA4959F">
            <w:pPr>
              <w:widowControl/>
              <w:spacing w:line="360" w:lineRule="auto"/>
              <w:jc w:val="center"/>
              <w:rPr>
                <w:rFonts w:ascii="Tahoma" w:hAnsi="Tahoma" w:cs="Tahoma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b/>
                <w:color w:val="000000"/>
                <w:kern w:val="0"/>
                <w:sz w:val="28"/>
                <w:szCs w:val="28"/>
              </w:rPr>
              <w:t>动火前“九不”</w:t>
            </w:r>
          </w:p>
        </w:tc>
      </w:tr>
      <w:tr w14:paraId="2EFC26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0C236D8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1.防火、灭火措施没落实不动火。</w:t>
            </w:r>
          </w:p>
        </w:tc>
      </w:tr>
      <w:tr w14:paraId="6B1C59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374C107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2.周围的杂物和易燃品、危险品未清除不动火。</w:t>
            </w:r>
          </w:p>
        </w:tc>
      </w:tr>
      <w:tr w14:paraId="48F364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79E944E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3.附近难以移动的易燃结构物未采取安全防范措施不动火。</w:t>
            </w:r>
          </w:p>
        </w:tc>
      </w:tr>
      <w:tr w14:paraId="23149D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56761F9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4.凡盛装过油类等易燃、可燃液体的容器、管道用后未清洗干净不动火。</w:t>
            </w:r>
          </w:p>
        </w:tc>
      </w:tr>
      <w:tr w14:paraId="544603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97754DA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5.在进行高空焊割作业时，未清除地面的可燃物品和采取相应防护措施不动火。</w:t>
            </w:r>
          </w:p>
        </w:tc>
      </w:tr>
      <w:tr w14:paraId="320D55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013C9A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6.储存易燃易爆物品的仓库、车间和场所未采取安全措施，危险性未清除不动火。</w:t>
            </w:r>
          </w:p>
        </w:tc>
      </w:tr>
      <w:tr w14:paraId="6981DF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6C2A6DC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7.未配备灭火器材或器材不足不动火。</w:t>
            </w:r>
          </w:p>
        </w:tc>
      </w:tr>
      <w:tr w14:paraId="4C6A3D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9556767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8.地下室、地沟及检查井等密闭空间未探明是否有可燃气体，无排风设施不动火。</w:t>
            </w:r>
          </w:p>
        </w:tc>
      </w:tr>
      <w:tr w14:paraId="098A32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0B30A0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9.现场安全负责人不在场不动火。</w:t>
            </w:r>
          </w:p>
        </w:tc>
      </w:tr>
      <w:tr w14:paraId="066441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FFFFFF" w:themeColor="background1" w:sz="4" w:space="0"/>
              <w:bottom w:val="single" w:color="000000" w:sz="6" w:space="0"/>
              <w:right w:val="single" w:color="FFFFFF" w:themeColor="background1" w:sz="4" w:space="0"/>
            </w:tcBorders>
            <w:shd w:val="clear" w:color="auto" w:fill="auto"/>
            <w:vAlign w:val="center"/>
          </w:tcPr>
          <w:p w14:paraId="658E2C40">
            <w:pPr>
              <w:widowControl/>
              <w:spacing w:line="360" w:lineRule="auto"/>
              <w:jc w:val="center"/>
              <w:rPr>
                <w:rFonts w:ascii="Tahoma" w:hAnsi="Tahoma" w:cs="Tahoma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b/>
                <w:color w:val="000000"/>
                <w:kern w:val="0"/>
                <w:sz w:val="28"/>
                <w:szCs w:val="28"/>
              </w:rPr>
              <w:t>动火中“四要”</w:t>
            </w:r>
          </w:p>
        </w:tc>
      </w:tr>
      <w:tr w14:paraId="686820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0EEB640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1.现场监护人要坚守岗位。</w:t>
            </w:r>
          </w:p>
        </w:tc>
      </w:tr>
      <w:tr w14:paraId="61E2AE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A5E422D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2.现场负责人、监护人和动火作业人员要加强观察、精心操作，发现不安全苗头时，立即停止动火。</w:t>
            </w:r>
          </w:p>
        </w:tc>
      </w:tr>
      <w:tr w14:paraId="524F21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3FD5B45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3.一旦发生火灾或爆炸事故时要立即报警和组织扑救。</w:t>
            </w:r>
          </w:p>
        </w:tc>
      </w:tr>
      <w:tr w14:paraId="7A3D78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E5C75FD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4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4.动火作业人员要严格执行安全操作规程。</w:t>
            </w:r>
          </w:p>
        </w:tc>
      </w:tr>
      <w:tr w14:paraId="275657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FFFFFF" w:themeColor="background1" w:sz="4" w:space="0"/>
              <w:bottom w:val="single" w:color="000000" w:sz="6" w:space="0"/>
              <w:right w:val="single" w:color="FFFFFF" w:themeColor="background1" w:sz="4" w:space="0"/>
            </w:tcBorders>
            <w:shd w:val="clear" w:color="auto" w:fill="auto"/>
            <w:vAlign w:val="center"/>
          </w:tcPr>
          <w:p w14:paraId="6E562ADB">
            <w:pPr>
              <w:widowControl/>
              <w:spacing w:line="360" w:lineRule="auto"/>
              <w:jc w:val="center"/>
              <w:rPr>
                <w:rFonts w:ascii="Tahoma" w:hAnsi="Tahoma" w:cs="Tahoma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b/>
                <w:color w:val="000000"/>
                <w:kern w:val="0"/>
                <w:sz w:val="28"/>
                <w:szCs w:val="28"/>
              </w:rPr>
              <w:t>动火后“一清”</w:t>
            </w:r>
          </w:p>
        </w:tc>
      </w:tr>
      <w:tr w14:paraId="53DB81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2E2067B">
            <w:pPr>
              <w:widowControl/>
              <w:spacing w:line="360" w:lineRule="auto"/>
              <w:jc w:val="left"/>
              <w:rPr>
                <w:rFonts w:ascii="Tahoma" w:hAnsi="Tahoma" w:cs="Tahoma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kern w:val="0"/>
                <w:sz w:val="24"/>
                <w:szCs w:val="28"/>
              </w:rPr>
              <w:t>1.完成动火作业后，动火人员和现场责任人要彻底清理动火作业现场，并确认无火灾隐患后才能离开。</w:t>
            </w:r>
          </w:p>
        </w:tc>
      </w:tr>
    </w:tbl>
    <w:p w14:paraId="1039F7AE">
      <w:pPr>
        <w:widowControl/>
        <w:spacing w:line="315" w:lineRule="atLeast"/>
        <w:jc w:val="left"/>
        <w:rPr>
          <w:rFonts w:ascii="Tahoma" w:hAnsi="Tahoma" w:cs="Tahoma"/>
          <w:color w:val="000000"/>
          <w:kern w:val="0"/>
          <w:sz w:val="20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54434E6-255C-49C7-9819-9DF6ED4E5C4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F472A38-D5A8-4497-B620-0226FC8ADFE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962B692-BE76-4534-83E4-59FF7A2D4C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C88793B5-42E3-4574-BC42-52A2B806318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EB867DE6-5C90-4752-B18C-4067E625899B}"/>
  </w:font>
  <w:font w:name="News706 BT">
    <w:panose1 w:val="02040804060705020204"/>
    <w:charset w:val="00"/>
    <w:family w:val="roman"/>
    <w:pitch w:val="default"/>
    <w:sig w:usb0="800000AF" w:usb1="1000204A" w:usb2="00000000" w:usb3="00000000" w:csb0="00000011" w:csb1="00000000"/>
    <w:embedRegular r:id="rId6" w:fontKey="{40E98785-A0EF-420C-AAF6-1B1F48F1F6F9}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7" w:fontKey="{3253F628-CFB7-48E5-8FAD-57B195B24D48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8" w:fontKey="{01902124-795D-4D24-8EF0-B470F40EBEB0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9" w:fontKey="{09722B43-0850-416E-B468-C62E9661AF4F}"/>
  </w:font>
  <w:font w:name="WPSEMBED1">
    <w:panose1 w:val="02040804060705020204"/>
    <w:charset w:val="00"/>
    <w:family w:val="auto"/>
    <w:pitch w:val="default"/>
    <w:sig w:usb0="800000AF" w:usb1="1000204A" w:usb2="00000000" w:usb3="00000000" w:csb0="0000001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24"/>
    <w:rsid w:val="00030639"/>
    <w:rsid w:val="00060BE3"/>
    <w:rsid w:val="000A10F6"/>
    <w:rsid w:val="000D379D"/>
    <w:rsid w:val="000E4855"/>
    <w:rsid w:val="00150714"/>
    <w:rsid w:val="00213268"/>
    <w:rsid w:val="002407EE"/>
    <w:rsid w:val="002E72B0"/>
    <w:rsid w:val="003242B9"/>
    <w:rsid w:val="00325155"/>
    <w:rsid w:val="003956D8"/>
    <w:rsid w:val="003C713A"/>
    <w:rsid w:val="004505E6"/>
    <w:rsid w:val="004779EB"/>
    <w:rsid w:val="00742EC8"/>
    <w:rsid w:val="00783A71"/>
    <w:rsid w:val="00787BAF"/>
    <w:rsid w:val="007B65EC"/>
    <w:rsid w:val="00833B24"/>
    <w:rsid w:val="008B485B"/>
    <w:rsid w:val="0097146B"/>
    <w:rsid w:val="00A268EB"/>
    <w:rsid w:val="00AB4152"/>
    <w:rsid w:val="00BB682A"/>
    <w:rsid w:val="00BF77B2"/>
    <w:rsid w:val="00C574BA"/>
    <w:rsid w:val="00CE0F6A"/>
    <w:rsid w:val="00D1290A"/>
    <w:rsid w:val="00D72589"/>
    <w:rsid w:val="00DC3386"/>
    <w:rsid w:val="00DE7601"/>
    <w:rsid w:val="00DF252F"/>
    <w:rsid w:val="00E30E66"/>
    <w:rsid w:val="00F908D0"/>
    <w:rsid w:val="00FD13BD"/>
    <w:rsid w:val="00FE31B7"/>
    <w:rsid w:val="00FF02A7"/>
    <w:rsid w:val="127C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315" w:line="315" w:lineRule="atLeast"/>
      <w:jc w:val="left"/>
    </w:pPr>
    <w:rPr>
      <w:rFonts w:ascii="宋体" w:hAnsi="宋体" w:cs="宋体"/>
      <w:kern w:val="0"/>
      <w:sz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uiPriority w:val="99"/>
    <w:rPr>
      <w:color w:val="666666"/>
      <w:sz w:val="18"/>
      <w:szCs w:val="18"/>
      <w:u w:val="non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2">
    <w:name w:val="Table Paragraph"/>
    <w:basedOn w:val="1"/>
    <w:qFormat/>
    <w:uiPriority w:val="1"/>
    <w:pPr>
      <w:autoSpaceDE w:val="0"/>
      <w:autoSpaceDN w:val="0"/>
      <w:adjustRightInd w:val="0"/>
      <w:ind w:left="38"/>
      <w:jc w:val="left"/>
    </w:pPr>
    <w:rPr>
      <w:rFonts w:ascii="宋体" w:cs="宋体"/>
      <w:kern w:val="0"/>
      <w:sz w:val="24"/>
      <w:szCs w:val="24"/>
    </w:rPr>
  </w:style>
  <w:style w:type="character" w:customStyle="1" w:styleId="13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653</Words>
  <Characters>669</Characters>
  <Lines>9</Lines>
  <Paragraphs>2</Paragraphs>
  <TotalTime>0</TotalTime>
  <ScaleCrop>false</ScaleCrop>
  <LinksUpToDate>false</LinksUpToDate>
  <CharactersWithSpaces>780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2020-01-07T09:24:00Z</dcterms:created>
  <dc:creator>sunjinlei</dc:creator>
  <cp:lastModifiedBy>杨建</cp:lastModifiedBy>
  <cp:lastPrinted>2020-01-07T09:24:00Z</cp:lastPrinted>
  <dcterms:modified xsi:type="dcterms:W3CDTF">2026-09-07T00:59:04Z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eyJoZGlkIjoiMThmNTI4MjdkZGExNDI4NzFhOTg5M2VmMjI4NTI5ODgiLCJ1c2VySWQiOiIxNDc3NDM3NTA4In0=</vt:lpwstr>
  </property>
  <property fmtid="{D5CDD505-2E9C-101B-9397-08002B2CF9AE}" pid="3" name="KSOProductBuildVer">
    <vt:lpwstr>2052-12.1.0.28022</vt:lpwstr>
  </property>
  <property fmtid="{D5CDD505-2E9C-101B-9397-08002B2CF9AE}" pid="4" name="ICV">
    <vt:lpwstr>08AE9F24C7594E3EB6E98A579F646879_12</vt:lpwstr>
  </property>
</Properties>
</file>